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9FFF" w14:textId="77777777" w:rsidR="00BC2628" w:rsidRPr="001D766F" w:rsidRDefault="00BC2628">
      <w:pPr>
        <w:pStyle w:val="BodyText"/>
        <w:spacing w:before="2"/>
        <w:rPr>
          <w:rFonts w:ascii="Times New Roman" w:hAnsi="Times New Roman" w:cs="Times New Roman"/>
          <w:b w:val="0"/>
          <w:sz w:val="18"/>
          <w:szCs w:val="18"/>
          <w:lang w:val="sr-Latn-ME"/>
        </w:rPr>
      </w:pPr>
    </w:p>
    <w:p w14:paraId="2250F6C5" w14:textId="77777777" w:rsidR="00BC2628" w:rsidRPr="001D766F" w:rsidRDefault="00D51FDC">
      <w:pPr>
        <w:pStyle w:val="BodyText"/>
        <w:spacing w:line="20" w:lineRule="exact"/>
        <w:ind w:left="118"/>
        <w:rPr>
          <w:rFonts w:ascii="Times New Roman" w:hAnsi="Times New Roman" w:cs="Times New Roman"/>
          <w:b w:val="0"/>
          <w:sz w:val="18"/>
          <w:szCs w:val="18"/>
          <w:lang w:val="sr-Latn-ME"/>
        </w:rPr>
      </w:pPr>
      <w:r>
        <w:rPr>
          <w:rFonts w:ascii="Times New Roman" w:hAnsi="Times New Roman" w:cs="Times New Roman"/>
          <w:b w:val="0"/>
          <w:sz w:val="18"/>
          <w:szCs w:val="18"/>
          <w:lang w:val="sr-Latn-ME"/>
        </w:rPr>
      </w:r>
      <w:r>
        <w:rPr>
          <w:rFonts w:ascii="Times New Roman" w:hAnsi="Times New Roman" w:cs="Times New Roman"/>
          <w:b w:val="0"/>
          <w:sz w:val="18"/>
          <w:szCs w:val="18"/>
          <w:lang w:val="sr-Latn-ME"/>
        </w:rPr>
        <w:pict w14:anchorId="1D0B7217">
          <v:group id="_x0000_s2050" style="width:525.3pt;height:.85pt;mso-position-horizontal-relative:char;mso-position-vertical-relative:line" coordsize="10506,17">
            <v:line id="_x0000_s2051" style="position:absolute" from="9,9" to="10497,9" strokeweight=".85pt"/>
            <w10:anchorlock/>
          </v:group>
        </w:pict>
      </w:r>
    </w:p>
    <w:p w14:paraId="1717A415" w14:textId="610C1F6F" w:rsidR="00BC2628" w:rsidRPr="001D766F" w:rsidRDefault="00B856A8">
      <w:pPr>
        <w:pStyle w:val="BodyText"/>
        <w:spacing w:before="27"/>
        <w:ind w:left="126"/>
        <w:rPr>
          <w:rFonts w:ascii="Times New Roman" w:hAnsi="Times New Roman" w:cs="Times New Roman"/>
          <w:sz w:val="18"/>
          <w:szCs w:val="18"/>
          <w:lang w:val="sr-Latn-ME"/>
        </w:rPr>
      </w:pPr>
      <w:r w:rsidRPr="001D766F">
        <w:rPr>
          <w:rFonts w:ascii="Times New Roman" w:hAnsi="Times New Roman" w:cs="Times New Roman"/>
          <w:sz w:val="18"/>
          <w:szCs w:val="18"/>
          <w:lang w:val="sr-Latn-ME"/>
        </w:rPr>
        <w:t>Fakultet političkih nauka / Politikologija</w:t>
      </w:r>
      <w:r w:rsidR="00246D2F" w:rsidRPr="001D766F">
        <w:rPr>
          <w:rFonts w:ascii="Times New Roman" w:hAnsi="Times New Roman" w:cs="Times New Roman"/>
          <w:sz w:val="18"/>
          <w:szCs w:val="18"/>
          <w:lang w:val="sr-Latn-ME"/>
        </w:rPr>
        <w:t xml:space="preserve"> – Međunarodni odnosi</w:t>
      </w:r>
      <w:r w:rsidRPr="001D766F">
        <w:rPr>
          <w:rFonts w:ascii="Times New Roman" w:hAnsi="Times New Roman" w:cs="Times New Roman"/>
          <w:sz w:val="18"/>
          <w:szCs w:val="18"/>
          <w:lang w:val="sr-Latn-ME"/>
        </w:rPr>
        <w:t xml:space="preserve"> / Savremena politička istorija</w:t>
      </w:r>
      <w:r w:rsidR="00860EAB" w:rsidRPr="001D766F">
        <w:rPr>
          <w:rFonts w:ascii="Times New Roman" w:hAnsi="Times New Roman" w:cs="Times New Roman"/>
          <w:sz w:val="18"/>
          <w:szCs w:val="18"/>
          <w:lang w:val="sr-Latn-ME"/>
        </w:rPr>
        <w:t>/ 4 ECTS</w:t>
      </w:r>
      <w:r w:rsidR="00CE7F65" w:rsidRPr="001D766F">
        <w:rPr>
          <w:rFonts w:ascii="Times New Roman" w:hAnsi="Times New Roman" w:cs="Times New Roman"/>
          <w:sz w:val="18"/>
          <w:szCs w:val="18"/>
          <w:lang w:val="sr-Latn-ME"/>
        </w:rPr>
        <w:t xml:space="preserve"> /20</w:t>
      </w:r>
      <w:r w:rsidR="001D766F">
        <w:rPr>
          <w:rFonts w:ascii="Times New Roman" w:hAnsi="Times New Roman" w:cs="Times New Roman"/>
          <w:sz w:val="18"/>
          <w:szCs w:val="18"/>
          <w:lang w:val="sr-Latn-ME"/>
        </w:rPr>
        <w:t>21</w:t>
      </w:r>
      <w:r w:rsidR="00CE7F65" w:rsidRPr="001D766F">
        <w:rPr>
          <w:rFonts w:ascii="Times New Roman" w:hAnsi="Times New Roman" w:cs="Times New Roman"/>
          <w:sz w:val="18"/>
          <w:szCs w:val="18"/>
          <w:lang w:val="sr-Latn-ME"/>
        </w:rPr>
        <w:t>-20</w:t>
      </w:r>
      <w:r w:rsidR="001D766F">
        <w:rPr>
          <w:rFonts w:ascii="Times New Roman" w:hAnsi="Times New Roman" w:cs="Times New Roman"/>
          <w:sz w:val="18"/>
          <w:szCs w:val="18"/>
          <w:lang w:val="sr-Latn-ME"/>
        </w:rPr>
        <w:t xml:space="preserve">22. </w:t>
      </w:r>
      <w:r w:rsidR="00CE7F65" w:rsidRPr="001D766F">
        <w:rPr>
          <w:rFonts w:ascii="Times New Roman" w:hAnsi="Times New Roman" w:cs="Times New Roman"/>
          <w:sz w:val="18"/>
          <w:szCs w:val="18"/>
          <w:lang w:val="sr-Latn-ME"/>
        </w:rPr>
        <w:t>akademska godina/</w:t>
      </w:r>
    </w:p>
    <w:p w14:paraId="00FE7C2B" w14:textId="77777777" w:rsidR="00BC2628" w:rsidRPr="001D766F" w:rsidRDefault="00BC2628">
      <w:pPr>
        <w:spacing w:before="8" w:after="1"/>
        <w:rPr>
          <w:rFonts w:ascii="Times New Roman" w:hAnsi="Times New Roman" w:cs="Times New Roman"/>
          <w:b/>
          <w:sz w:val="18"/>
          <w:szCs w:val="18"/>
          <w:lang w:val="sr-Latn-ME"/>
        </w:rPr>
      </w:pPr>
    </w:p>
    <w:tbl>
      <w:tblPr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8391"/>
      </w:tblGrid>
      <w:tr w:rsidR="00BC2628" w:rsidRPr="001D766F" w14:paraId="688E7958" w14:textId="77777777">
        <w:trPr>
          <w:trHeight w:val="500"/>
        </w:trPr>
        <w:tc>
          <w:tcPr>
            <w:tcW w:w="2098" w:type="dxa"/>
          </w:tcPr>
          <w:p w14:paraId="3DEE3C7D" w14:textId="30E32CED" w:rsidR="00BC2628" w:rsidRPr="001D766F" w:rsidRDefault="00B856A8">
            <w:pPr>
              <w:pStyle w:val="TableParagraph"/>
              <w:spacing w:line="256" w:lineRule="auto"/>
              <w:ind w:right="415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Uslovljenost drugim predmetima</w:t>
            </w:r>
          </w:p>
        </w:tc>
        <w:tc>
          <w:tcPr>
            <w:tcW w:w="8391" w:type="dxa"/>
          </w:tcPr>
          <w:p w14:paraId="77934A18" w14:textId="77777777" w:rsidR="00BC2628" w:rsidRPr="001D766F" w:rsidRDefault="00B856A8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Nema uslova za prijavljivanje i slušanje predmeta</w:t>
            </w:r>
          </w:p>
        </w:tc>
      </w:tr>
      <w:tr w:rsidR="00BC2628" w:rsidRPr="001D766F" w14:paraId="28CC41BC" w14:textId="77777777">
        <w:trPr>
          <w:trHeight w:val="500"/>
        </w:trPr>
        <w:tc>
          <w:tcPr>
            <w:tcW w:w="2098" w:type="dxa"/>
          </w:tcPr>
          <w:p w14:paraId="3CD22446" w14:textId="77777777" w:rsidR="00BC2628" w:rsidRPr="001D766F" w:rsidRDefault="00B856A8">
            <w:pPr>
              <w:pStyle w:val="TableParagraph"/>
              <w:spacing w:line="256" w:lineRule="auto"/>
              <w:ind w:right="621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Ciljevi izučavanja predmeta</w:t>
            </w:r>
          </w:p>
        </w:tc>
        <w:tc>
          <w:tcPr>
            <w:tcW w:w="8391" w:type="dxa"/>
          </w:tcPr>
          <w:p w14:paraId="64C65C35" w14:textId="77777777" w:rsidR="00BC2628" w:rsidRPr="001D766F" w:rsidRDefault="00B856A8" w:rsidP="002F5BA9">
            <w:pPr>
              <w:pStyle w:val="TableParagraph"/>
              <w:spacing w:line="256" w:lineRule="auto"/>
              <w:ind w:left="49" w:right="598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Cilj izučavanja predmeta je da osposobi studente za razumijevanje političkih procesa i događaja savremene opšte</w:t>
            </w:r>
            <w:r w:rsidR="002F5BA9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političke </w:t>
            </w: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istorije XIX i XX vijeka.</w:t>
            </w:r>
          </w:p>
        </w:tc>
      </w:tr>
      <w:tr w:rsidR="00BC2628" w:rsidRPr="001D766F" w14:paraId="0A518BDE" w14:textId="77777777">
        <w:trPr>
          <w:trHeight w:val="500"/>
        </w:trPr>
        <w:tc>
          <w:tcPr>
            <w:tcW w:w="2098" w:type="dxa"/>
          </w:tcPr>
          <w:p w14:paraId="3F029307" w14:textId="77777777" w:rsidR="00BC2628" w:rsidRPr="001D766F" w:rsidRDefault="00B856A8" w:rsidP="00187E20">
            <w:pPr>
              <w:pStyle w:val="TableParagraph"/>
              <w:spacing w:line="256" w:lineRule="auto"/>
              <w:ind w:right="203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Ime i prezime nastavnika </w:t>
            </w:r>
          </w:p>
        </w:tc>
        <w:tc>
          <w:tcPr>
            <w:tcW w:w="8391" w:type="dxa"/>
          </w:tcPr>
          <w:p w14:paraId="60CF4331" w14:textId="77777777" w:rsidR="00BC2628" w:rsidRPr="001D766F" w:rsidRDefault="00187E20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Prof. Dr Radoslav Raspopović</w:t>
            </w:r>
          </w:p>
        </w:tc>
      </w:tr>
      <w:tr w:rsidR="00BC2628" w:rsidRPr="001D766F" w14:paraId="19827F86" w14:textId="77777777">
        <w:trPr>
          <w:trHeight w:val="500"/>
        </w:trPr>
        <w:tc>
          <w:tcPr>
            <w:tcW w:w="2098" w:type="dxa"/>
          </w:tcPr>
          <w:p w14:paraId="756F67B0" w14:textId="77777777" w:rsidR="00BC2628" w:rsidRPr="001D766F" w:rsidRDefault="00B856A8">
            <w:pPr>
              <w:pStyle w:val="TableParagraph"/>
              <w:spacing w:line="256" w:lineRule="auto"/>
              <w:ind w:right="490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Metod nastave i savladanja gradiva</w:t>
            </w:r>
          </w:p>
        </w:tc>
        <w:tc>
          <w:tcPr>
            <w:tcW w:w="8391" w:type="dxa"/>
          </w:tcPr>
          <w:p w14:paraId="4DE9B2F0" w14:textId="77777777" w:rsidR="00BC2628" w:rsidRPr="001D766F" w:rsidRDefault="00B856A8" w:rsidP="00A05D17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Predavanja</w:t>
            </w:r>
            <w:r w:rsidR="00A05D17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,</w:t>
            </w:r>
            <w:r w:rsidR="00187E20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konsultacije</w:t>
            </w:r>
          </w:p>
        </w:tc>
      </w:tr>
      <w:tr w:rsidR="00BC2628" w:rsidRPr="001D766F" w14:paraId="467EE6E7" w14:textId="77777777">
        <w:trPr>
          <w:trHeight w:val="300"/>
        </w:trPr>
        <w:tc>
          <w:tcPr>
            <w:tcW w:w="2098" w:type="dxa"/>
          </w:tcPr>
          <w:p w14:paraId="3E630575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I nedjelja, pred.</w:t>
            </w:r>
          </w:p>
        </w:tc>
        <w:tc>
          <w:tcPr>
            <w:tcW w:w="8391" w:type="dxa"/>
          </w:tcPr>
          <w:p w14:paraId="77D521CE" w14:textId="77777777" w:rsidR="00BC2628" w:rsidRPr="001D766F" w:rsidRDefault="00B856A8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Uvodno predavanje ( o fenomenima istorije XIX i XX vijeka )</w:t>
            </w:r>
          </w:p>
        </w:tc>
      </w:tr>
      <w:tr w:rsidR="00BC2628" w:rsidRPr="001D766F" w14:paraId="0506C533" w14:textId="77777777">
        <w:trPr>
          <w:trHeight w:val="300"/>
        </w:trPr>
        <w:tc>
          <w:tcPr>
            <w:tcW w:w="2098" w:type="dxa"/>
          </w:tcPr>
          <w:p w14:paraId="0D6D0A8E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II nedjelja, pred.</w:t>
            </w:r>
          </w:p>
        </w:tc>
        <w:tc>
          <w:tcPr>
            <w:tcW w:w="8391" w:type="dxa"/>
          </w:tcPr>
          <w:p w14:paraId="2B3AACE0" w14:textId="77777777" w:rsidR="00BC2628" w:rsidRPr="001D766F" w:rsidRDefault="00B856A8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Američka revolucija i rat za nezavisnost (1775-1783)</w:t>
            </w:r>
          </w:p>
        </w:tc>
      </w:tr>
      <w:tr w:rsidR="00BC2628" w:rsidRPr="001D766F" w14:paraId="20F17BB2" w14:textId="77777777">
        <w:trPr>
          <w:trHeight w:val="300"/>
        </w:trPr>
        <w:tc>
          <w:tcPr>
            <w:tcW w:w="2098" w:type="dxa"/>
          </w:tcPr>
          <w:p w14:paraId="6FC7F55D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III nedjelja, pred.</w:t>
            </w:r>
          </w:p>
        </w:tc>
        <w:tc>
          <w:tcPr>
            <w:tcW w:w="8391" w:type="dxa"/>
          </w:tcPr>
          <w:p w14:paraId="651CE7B2" w14:textId="77777777" w:rsidR="00BC2628" w:rsidRPr="001D766F" w:rsidRDefault="00B856A8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Francuska buržoaska revolucija (1789-1804)</w:t>
            </w:r>
          </w:p>
        </w:tc>
      </w:tr>
      <w:tr w:rsidR="00BC2628" w:rsidRPr="001D766F" w14:paraId="756ED6C5" w14:textId="77777777">
        <w:trPr>
          <w:trHeight w:val="300"/>
        </w:trPr>
        <w:tc>
          <w:tcPr>
            <w:tcW w:w="2098" w:type="dxa"/>
          </w:tcPr>
          <w:p w14:paraId="6B2321F2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IV nedjelja, pred.</w:t>
            </w:r>
          </w:p>
        </w:tc>
        <w:tc>
          <w:tcPr>
            <w:tcW w:w="8391" w:type="dxa"/>
          </w:tcPr>
          <w:p w14:paraId="3DDA294A" w14:textId="5691EC46" w:rsidR="00BC2628" w:rsidRPr="001D766F" w:rsidRDefault="00B856A8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Francuska buržoaska revolucija (1804-1815); Odjeci i značaj Revolucije u Evropi.</w:t>
            </w:r>
            <w:r w:rsidR="00D247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Revolucije 1848.</w:t>
            </w:r>
          </w:p>
        </w:tc>
      </w:tr>
      <w:tr w:rsidR="00BC2628" w:rsidRPr="001D766F" w14:paraId="39F7530E" w14:textId="77777777">
        <w:trPr>
          <w:trHeight w:val="700"/>
        </w:trPr>
        <w:tc>
          <w:tcPr>
            <w:tcW w:w="2098" w:type="dxa"/>
          </w:tcPr>
          <w:p w14:paraId="38322A12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V nedjelja, pred.</w:t>
            </w:r>
          </w:p>
        </w:tc>
        <w:tc>
          <w:tcPr>
            <w:tcW w:w="8391" w:type="dxa"/>
          </w:tcPr>
          <w:p w14:paraId="7784BA98" w14:textId="77777777" w:rsidR="00BC2628" w:rsidRPr="001D766F" w:rsidRDefault="00B856A8">
            <w:pPr>
              <w:pStyle w:val="TableParagraph"/>
              <w:spacing w:line="256" w:lineRule="auto"/>
              <w:ind w:left="49" w:right="13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Evropa i svijet pred Prvi svjetski rat – karakteristike imperijalizma potkraj XIX. vijeka. Formiranje protivničkih političko-vojnih saveza uoči Prvog svjetskog rata. Političke krize (marokanska, aneksiona, balkanski ratovi). Rusko-japanski rat i ruska revolucija 1905.</w:t>
            </w:r>
          </w:p>
        </w:tc>
      </w:tr>
      <w:tr w:rsidR="00BC2628" w:rsidRPr="001D766F" w14:paraId="3E188D42" w14:textId="77777777">
        <w:trPr>
          <w:trHeight w:val="300"/>
        </w:trPr>
        <w:tc>
          <w:tcPr>
            <w:tcW w:w="2098" w:type="dxa"/>
          </w:tcPr>
          <w:p w14:paraId="603A010C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VI nedjelja, pred.</w:t>
            </w:r>
          </w:p>
        </w:tc>
        <w:tc>
          <w:tcPr>
            <w:tcW w:w="8391" w:type="dxa"/>
          </w:tcPr>
          <w:p w14:paraId="2C4715B5" w14:textId="77777777" w:rsidR="00BC2628" w:rsidRPr="001D766F" w:rsidRDefault="00B856A8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Prvi svjetski rat (1914-1918)</w:t>
            </w:r>
          </w:p>
        </w:tc>
      </w:tr>
      <w:tr w:rsidR="00BC2628" w:rsidRPr="001D766F" w14:paraId="05A73C7B" w14:textId="77777777">
        <w:trPr>
          <w:trHeight w:val="300"/>
        </w:trPr>
        <w:tc>
          <w:tcPr>
            <w:tcW w:w="2098" w:type="dxa"/>
          </w:tcPr>
          <w:p w14:paraId="4EEFE1E9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VII nedjelja, pred.</w:t>
            </w:r>
          </w:p>
        </w:tc>
        <w:tc>
          <w:tcPr>
            <w:tcW w:w="8391" w:type="dxa"/>
          </w:tcPr>
          <w:p w14:paraId="63BA85AD" w14:textId="77777777" w:rsidR="00BC2628" w:rsidRPr="001D766F" w:rsidRDefault="00860EAB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Oktobarska revolucija 1917. Versajski mir.</w:t>
            </w:r>
          </w:p>
        </w:tc>
      </w:tr>
      <w:tr w:rsidR="00BC2628" w:rsidRPr="001D766F" w14:paraId="16600599" w14:textId="77777777">
        <w:trPr>
          <w:trHeight w:val="300"/>
        </w:trPr>
        <w:tc>
          <w:tcPr>
            <w:tcW w:w="2098" w:type="dxa"/>
          </w:tcPr>
          <w:p w14:paraId="7BC7ED1B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VIII nedjelja, pred.</w:t>
            </w:r>
          </w:p>
        </w:tc>
        <w:tc>
          <w:tcPr>
            <w:tcW w:w="8391" w:type="dxa"/>
          </w:tcPr>
          <w:p w14:paraId="3FE02E61" w14:textId="77777777" w:rsidR="00BC2628" w:rsidRPr="001D766F" w:rsidRDefault="00860EAB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KOLOKVIJUM</w:t>
            </w:r>
          </w:p>
        </w:tc>
      </w:tr>
      <w:tr w:rsidR="00BC2628" w:rsidRPr="001D766F" w14:paraId="1B9FE459" w14:textId="77777777">
        <w:trPr>
          <w:trHeight w:val="500"/>
        </w:trPr>
        <w:tc>
          <w:tcPr>
            <w:tcW w:w="2098" w:type="dxa"/>
          </w:tcPr>
          <w:p w14:paraId="7CC3878F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IX nedjelja, pred.</w:t>
            </w:r>
          </w:p>
        </w:tc>
        <w:tc>
          <w:tcPr>
            <w:tcW w:w="8391" w:type="dxa"/>
          </w:tcPr>
          <w:p w14:paraId="74347600" w14:textId="77777777" w:rsidR="00BC2628" w:rsidRPr="001D766F" w:rsidRDefault="00B856A8">
            <w:pPr>
              <w:pStyle w:val="TableParagraph"/>
              <w:spacing w:line="256" w:lineRule="auto"/>
              <w:ind w:left="49" w:right="75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Evropa između dva rata (1919-1933- Versajski poredak; Liga Naroda; Velika ekonomska kriza, fašizam i nacizam kao ideološki i društveno-politički sistemi)</w:t>
            </w:r>
          </w:p>
        </w:tc>
      </w:tr>
      <w:tr w:rsidR="00BC2628" w:rsidRPr="001D766F" w14:paraId="57794D22" w14:textId="77777777">
        <w:trPr>
          <w:trHeight w:val="700"/>
        </w:trPr>
        <w:tc>
          <w:tcPr>
            <w:tcW w:w="2098" w:type="dxa"/>
          </w:tcPr>
          <w:p w14:paraId="6007F808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X nedjelja, pred.</w:t>
            </w:r>
          </w:p>
        </w:tc>
        <w:tc>
          <w:tcPr>
            <w:tcW w:w="8391" w:type="dxa"/>
          </w:tcPr>
          <w:p w14:paraId="2CC3329C" w14:textId="77777777" w:rsidR="00BC2628" w:rsidRPr="001D766F" w:rsidRDefault="00B856A8">
            <w:pPr>
              <w:pStyle w:val="TableParagraph"/>
              <w:spacing w:line="256" w:lineRule="auto"/>
              <w:ind w:left="49" w:right="242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Evropa između dva</w:t>
            </w:r>
            <w:r w:rsidR="00860EAB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svjetska</w:t>
            </w: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rata (1933-1939)</w:t>
            </w:r>
            <w:r w:rsidR="00860EAB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</w:t>
            </w: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- Slom Versajskog sistema i međunarodne krize: Sar, Rajnska oblast, Anšlus, Španski građanski rat, Minhenski sporazum, Pakt Ribentrop-Molotov; politika Japana i SAD na Dalekom istoku)</w:t>
            </w:r>
          </w:p>
        </w:tc>
      </w:tr>
      <w:tr w:rsidR="00BC2628" w:rsidRPr="001D766F" w14:paraId="5909CAE5" w14:textId="77777777">
        <w:trPr>
          <w:trHeight w:val="300"/>
        </w:trPr>
        <w:tc>
          <w:tcPr>
            <w:tcW w:w="2098" w:type="dxa"/>
          </w:tcPr>
          <w:p w14:paraId="6390EF9C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XI nedjelja, pred.</w:t>
            </w:r>
          </w:p>
        </w:tc>
        <w:tc>
          <w:tcPr>
            <w:tcW w:w="8391" w:type="dxa"/>
          </w:tcPr>
          <w:p w14:paraId="4A4520D8" w14:textId="77777777" w:rsidR="00BC2628" w:rsidRPr="001D766F" w:rsidRDefault="00B856A8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Drugi svjetski rat (1939-1945)</w:t>
            </w:r>
          </w:p>
        </w:tc>
      </w:tr>
      <w:tr w:rsidR="00BC2628" w:rsidRPr="001D766F" w14:paraId="731D18D8" w14:textId="77777777">
        <w:trPr>
          <w:trHeight w:val="300"/>
        </w:trPr>
        <w:tc>
          <w:tcPr>
            <w:tcW w:w="2098" w:type="dxa"/>
          </w:tcPr>
          <w:p w14:paraId="67B99785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XII nedjelja, pred.</w:t>
            </w:r>
          </w:p>
        </w:tc>
        <w:tc>
          <w:tcPr>
            <w:tcW w:w="8391" w:type="dxa"/>
          </w:tcPr>
          <w:p w14:paraId="55F6AB79" w14:textId="77777777" w:rsidR="00BC2628" w:rsidRPr="001D766F" w:rsidRDefault="00B856A8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Evropa i svijet poslije rata ( denacifikacije, obnova , UN )</w:t>
            </w:r>
          </w:p>
        </w:tc>
      </w:tr>
      <w:tr w:rsidR="00BC2628" w:rsidRPr="001D766F" w14:paraId="2311FC51" w14:textId="77777777">
        <w:trPr>
          <w:trHeight w:val="300"/>
        </w:trPr>
        <w:tc>
          <w:tcPr>
            <w:tcW w:w="2098" w:type="dxa"/>
          </w:tcPr>
          <w:p w14:paraId="3E4F1925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XIII nedjelja, pred.</w:t>
            </w:r>
          </w:p>
        </w:tc>
        <w:tc>
          <w:tcPr>
            <w:tcW w:w="8391" w:type="dxa"/>
          </w:tcPr>
          <w:p w14:paraId="7B8471E3" w14:textId="77777777" w:rsidR="00BC2628" w:rsidRPr="001D766F" w:rsidRDefault="00B856A8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Antikolonijalna revolucija. Trka u naoružanju. Hladni rat (karakteristike i krize).</w:t>
            </w:r>
          </w:p>
        </w:tc>
      </w:tr>
      <w:tr w:rsidR="00BC2628" w:rsidRPr="001D766F" w14:paraId="67DDB5EE" w14:textId="77777777">
        <w:trPr>
          <w:trHeight w:val="500"/>
        </w:trPr>
        <w:tc>
          <w:tcPr>
            <w:tcW w:w="2098" w:type="dxa"/>
          </w:tcPr>
          <w:p w14:paraId="040963CE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XIV nedjelja, pred.</w:t>
            </w:r>
          </w:p>
        </w:tc>
        <w:tc>
          <w:tcPr>
            <w:tcW w:w="8391" w:type="dxa"/>
          </w:tcPr>
          <w:p w14:paraId="77468809" w14:textId="77777777" w:rsidR="00BC2628" w:rsidRPr="001D766F" w:rsidRDefault="00B856A8">
            <w:pPr>
              <w:pStyle w:val="TableParagraph"/>
              <w:spacing w:line="256" w:lineRule="auto"/>
              <w:ind w:left="49" w:right="56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Kriza komunističkih sistema i pad Berlinskog zida. Post-komunizam u Istočnoj Evropi. Nestanak SSSR-a i ratni raspad Jugoslavije</w:t>
            </w:r>
          </w:p>
        </w:tc>
      </w:tr>
      <w:tr w:rsidR="00BC2628" w:rsidRPr="001D766F" w14:paraId="31C1B5A1" w14:textId="77777777">
        <w:trPr>
          <w:trHeight w:val="300"/>
        </w:trPr>
        <w:tc>
          <w:tcPr>
            <w:tcW w:w="2098" w:type="dxa"/>
          </w:tcPr>
          <w:p w14:paraId="3F99649F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XV nedjelja, pred.</w:t>
            </w:r>
          </w:p>
        </w:tc>
        <w:tc>
          <w:tcPr>
            <w:tcW w:w="8391" w:type="dxa"/>
          </w:tcPr>
          <w:p w14:paraId="7AB5F695" w14:textId="77777777" w:rsidR="00BC2628" w:rsidRPr="001D766F" w:rsidRDefault="00B856A8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Završni ispit</w:t>
            </w:r>
          </w:p>
        </w:tc>
      </w:tr>
    </w:tbl>
    <w:p w14:paraId="6F61B2EF" w14:textId="77777777" w:rsidR="00BC2628" w:rsidRPr="001D766F" w:rsidRDefault="00BC2628">
      <w:pPr>
        <w:rPr>
          <w:rFonts w:ascii="Times New Roman" w:hAnsi="Times New Roman" w:cs="Times New Roman"/>
          <w:sz w:val="18"/>
          <w:szCs w:val="18"/>
          <w:lang w:val="sr-Latn-ME"/>
        </w:rPr>
        <w:sectPr w:rsidR="00BC2628" w:rsidRPr="001D766F">
          <w:headerReference w:type="default" r:id="rId7"/>
          <w:footerReference w:type="default" r:id="rId8"/>
          <w:type w:val="continuous"/>
          <w:pgSz w:w="11910" w:h="16840"/>
          <w:pgMar w:top="920" w:right="720" w:bottom="220" w:left="440" w:header="283" w:footer="32" w:gutter="0"/>
          <w:pgNumType w:start="1"/>
          <w:cols w:space="720"/>
        </w:sectPr>
      </w:pPr>
    </w:p>
    <w:p w14:paraId="121A65AD" w14:textId="77777777" w:rsidR="00BC2628" w:rsidRPr="001D766F" w:rsidRDefault="00BC2628">
      <w:pPr>
        <w:pStyle w:val="BodyText"/>
        <w:spacing w:before="2"/>
        <w:rPr>
          <w:rFonts w:ascii="Times New Roman" w:hAnsi="Times New Roman" w:cs="Times New Roman"/>
          <w:b w:val="0"/>
          <w:sz w:val="18"/>
          <w:szCs w:val="18"/>
          <w:lang w:val="sr-Latn-ME"/>
        </w:rPr>
      </w:pPr>
    </w:p>
    <w:tbl>
      <w:tblPr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8391"/>
      </w:tblGrid>
      <w:tr w:rsidR="00BC2628" w:rsidRPr="001D766F" w14:paraId="4C2BA4BB" w14:textId="77777777">
        <w:trPr>
          <w:trHeight w:val="500"/>
        </w:trPr>
        <w:tc>
          <w:tcPr>
            <w:tcW w:w="2098" w:type="dxa"/>
          </w:tcPr>
          <w:p w14:paraId="19BB523A" w14:textId="77777777" w:rsidR="00BC2628" w:rsidRPr="001D766F" w:rsidRDefault="00B856A8">
            <w:pPr>
              <w:pStyle w:val="TableParagraph"/>
              <w:spacing w:line="256" w:lineRule="auto"/>
              <w:ind w:right="393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Obaveze studenta u toku nastave</w:t>
            </w:r>
          </w:p>
        </w:tc>
        <w:tc>
          <w:tcPr>
            <w:tcW w:w="8391" w:type="dxa"/>
          </w:tcPr>
          <w:p w14:paraId="424E2D46" w14:textId="77777777" w:rsidR="00BC2628" w:rsidRPr="001D766F" w:rsidRDefault="00BC262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</w:p>
        </w:tc>
      </w:tr>
      <w:tr w:rsidR="00BC2628" w:rsidRPr="001D766F" w14:paraId="7DB455B8" w14:textId="77777777">
        <w:trPr>
          <w:trHeight w:val="300"/>
        </w:trPr>
        <w:tc>
          <w:tcPr>
            <w:tcW w:w="2098" w:type="dxa"/>
          </w:tcPr>
          <w:p w14:paraId="415B6CA8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Konsultacije</w:t>
            </w:r>
          </w:p>
        </w:tc>
        <w:tc>
          <w:tcPr>
            <w:tcW w:w="8391" w:type="dxa"/>
          </w:tcPr>
          <w:p w14:paraId="6B6430E3" w14:textId="77777777" w:rsidR="00BC2628" w:rsidRPr="001D766F" w:rsidRDefault="00860EA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Konsultacije su predviđene na časovima vježbi i predavanja</w:t>
            </w:r>
          </w:p>
        </w:tc>
      </w:tr>
      <w:tr w:rsidR="00BC2628" w:rsidRPr="001D766F" w14:paraId="7D3C6AD9" w14:textId="77777777">
        <w:trPr>
          <w:trHeight w:val="1480"/>
        </w:trPr>
        <w:tc>
          <w:tcPr>
            <w:tcW w:w="2098" w:type="dxa"/>
          </w:tcPr>
          <w:p w14:paraId="0A496B5C" w14:textId="77777777" w:rsidR="00BC2628" w:rsidRPr="001D766F" w:rsidRDefault="00B856A8">
            <w:pPr>
              <w:pStyle w:val="TableParagraph"/>
              <w:spacing w:line="256" w:lineRule="auto"/>
              <w:ind w:right="111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Opterećenje studenta u casovima</w:t>
            </w:r>
          </w:p>
        </w:tc>
        <w:tc>
          <w:tcPr>
            <w:tcW w:w="8391" w:type="dxa"/>
            <w:tcBorders>
              <w:bottom w:val="single" w:sz="12" w:space="0" w:color="000000"/>
              <w:right w:val="single" w:sz="12" w:space="0" w:color="000000"/>
            </w:tcBorders>
          </w:tcPr>
          <w:p w14:paraId="3DA8511C" w14:textId="77777777" w:rsidR="00BC2628" w:rsidRPr="001D766F" w:rsidRDefault="00F3286B" w:rsidP="00F3286B">
            <w:pPr>
              <w:pStyle w:val="TableParagraph"/>
              <w:spacing w:line="256" w:lineRule="auto"/>
              <w:ind w:left="49" w:right="92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Nedjeljno 2 sata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Struktura: 2 sata predavanja U seme</w:t>
            </w: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stru Nastava i završni ispit: (2 sata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) x 16 = </w:t>
            </w: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32 sata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Neophodne pripreme prije početka semestra (administracija, upis, ovjera) 2 x (8 sati) = 16 sati Ukupno</w:t>
            </w:r>
            <w:r w:rsidR="00622B25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opterećenje za predmet 2x15 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= </w:t>
            </w:r>
            <w:r w:rsidR="00622B25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60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sati Dopunski rad za pripremu ispita u popravnom ispitnom roku, uključujući i polaganje popravnog ispita od 0 do 48 sati (preostalo vrijeme od prve dvije stavke do ukupnog</w:t>
            </w:r>
            <w:r w:rsidR="00622B25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opterećenja za predmet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) Struktura opterećenja: sati (Nastava)+16 sati.(Priprema)+36 sati (Dopunski rad) Studenti su obavezni da pohađaju nastavu i učestvuju u njoj aktivno i da rade kolokvijum.</w:t>
            </w:r>
          </w:p>
        </w:tc>
      </w:tr>
      <w:tr w:rsidR="00BC2628" w:rsidRPr="001D766F" w14:paraId="6CE31A3D" w14:textId="77777777">
        <w:trPr>
          <w:trHeight w:val="1680"/>
        </w:trPr>
        <w:tc>
          <w:tcPr>
            <w:tcW w:w="2098" w:type="dxa"/>
          </w:tcPr>
          <w:p w14:paraId="11DBF235" w14:textId="77777777" w:rsidR="00BC2628" w:rsidRPr="001D766F" w:rsidRDefault="00B856A8">
            <w:pPr>
              <w:pStyle w:val="TableParagraph"/>
              <w:spacing w:before="52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Literatura</w:t>
            </w:r>
          </w:p>
        </w:tc>
        <w:tc>
          <w:tcPr>
            <w:tcW w:w="8391" w:type="dxa"/>
            <w:tcBorders>
              <w:top w:val="single" w:sz="12" w:space="0" w:color="000000"/>
            </w:tcBorders>
          </w:tcPr>
          <w:p w14:paraId="3DE799F8" w14:textId="77777777" w:rsidR="00CF185A" w:rsidRPr="001D766F" w:rsidRDefault="00246D2F" w:rsidP="00246D2F">
            <w:pPr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b/>
                <w:i/>
                <w:color w:val="000000"/>
                <w:sz w:val="18"/>
                <w:szCs w:val="18"/>
                <w:lang w:val="sr-Latn-ME"/>
              </w:rPr>
              <w:t xml:space="preserve">Osnovna literatura: </w:t>
            </w:r>
          </w:p>
          <w:p w14:paraId="790A9A34" w14:textId="77777777" w:rsidR="00CF185A" w:rsidRPr="001D766F" w:rsidRDefault="00246D2F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Č. Popov, </w:t>
            </w:r>
            <w:r w:rsidRPr="001D766F">
              <w:rPr>
                <w:rFonts w:ascii="Times New Roman" w:eastAsia="Arial" w:hAnsi="Times New Roman" w:cs="Times New Roman"/>
                <w:i/>
                <w:sz w:val="18"/>
                <w:szCs w:val="18"/>
                <w:lang w:val="sr-Latn-ME"/>
              </w:rPr>
              <w:t>Građanska Evropa 1770-1871</w:t>
            </w: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, I-II, Novi Sad 1989; </w:t>
            </w:r>
          </w:p>
          <w:p w14:paraId="26CAB84D" w14:textId="77777777" w:rsidR="00CF185A" w:rsidRPr="001D766F" w:rsidRDefault="00246D2F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Č. Popov, </w:t>
            </w:r>
            <w:r w:rsidRPr="001D766F">
              <w:rPr>
                <w:rFonts w:ascii="Times New Roman" w:eastAsia="Arial" w:hAnsi="Times New Roman" w:cs="Times New Roman"/>
                <w:i/>
                <w:sz w:val="18"/>
                <w:szCs w:val="18"/>
                <w:lang w:val="sr-Latn-ME"/>
              </w:rPr>
              <w:t>Građanska Evropa (1770-1914).</w:t>
            </w: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 Društvena i politička istorija Evrope (1871-1914), Beograd 2010;</w:t>
            </w:r>
          </w:p>
          <w:p w14:paraId="4A0D1BBE" w14:textId="77777777" w:rsidR="00CF185A" w:rsidRPr="001D766F" w:rsidRDefault="00246D2F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Č. Popov, </w:t>
            </w:r>
            <w:r w:rsidRPr="001D766F">
              <w:rPr>
                <w:rFonts w:ascii="Times New Roman" w:eastAsia="Arial" w:hAnsi="Times New Roman" w:cs="Times New Roman"/>
                <w:i/>
                <w:sz w:val="18"/>
                <w:szCs w:val="18"/>
                <w:lang w:val="sr-Latn-ME"/>
              </w:rPr>
              <w:t>Od Versaja do Danciga</w:t>
            </w: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, Beograd 1976, </w:t>
            </w:r>
          </w:p>
          <w:p w14:paraId="73EE2395" w14:textId="77777777" w:rsidR="00CF185A" w:rsidRPr="001D766F" w:rsidRDefault="00246D2F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Erik Hobsbaum, </w:t>
            </w:r>
            <w:r w:rsidRPr="001D766F">
              <w:rPr>
                <w:rFonts w:ascii="Times New Roman" w:eastAsia="Arial" w:hAnsi="Times New Roman" w:cs="Times New Roman"/>
                <w:i/>
                <w:sz w:val="18"/>
                <w:szCs w:val="18"/>
                <w:lang w:val="sr-Latn-ME"/>
              </w:rPr>
              <w:t>Doba extrema, Istorija kratkog Dvadesetog Veka 1914- 1991</w:t>
            </w: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, Dereta, Beograd, 2002; </w:t>
            </w:r>
            <w:r w:rsidR="00CE7F65"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. </w:t>
            </w:r>
          </w:p>
          <w:p w14:paraId="11D809FC" w14:textId="77777777" w:rsidR="00CF185A" w:rsidRPr="001D766F" w:rsidRDefault="00CE7F65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Volter Laker , </w:t>
            </w:r>
            <w:r w:rsidRPr="001D766F">
              <w:rPr>
                <w:rFonts w:ascii="Times New Roman" w:eastAsia="Arial" w:hAnsi="Times New Roman" w:cs="Times New Roman"/>
                <w:i/>
                <w:sz w:val="18"/>
                <w:szCs w:val="18"/>
                <w:lang w:val="sr-Latn-ME"/>
              </w:rPr>
              <w:t>Istorija Evrope 1945- 1992</w:t>
            </w: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, Clio , Beograd , 1999; </w:t>
            </w:r>
          </w:p>
          <w:p w14:paraId="2803CFF5" w14:textId="77777777" w:rsidR="00CF185A" w:rsidRPr="001D766F" w:rsidRDefault="00CE7F65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Džon M. Roberts, </w:t>
            </w:r>
            <w:r w:rsidRPr="001D766F">
              <w:rPr>
                <w:rFonts w:ascii="Times New Roman" w:eastAsia="Arial" w:hAnsi="Times New Roman" w:cs="Times New Roman"/>
                <w:i/>
                <w:sz w:val="18"/>
                <w:szCs w:val="18"/>
                <w:lang w:val="sr-Latn-ME"/>
              </w:rPr>
              <w:t>Evropa 1880- 1945</w:t>
            </w: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 , Clio , Beograd 2002. </w:t>
            </w:r>
          </w:p>
          <w:p w14:paraId="354DA174" w14:textId="77777777" w:rsidR="0051763B" w:rsidRPr="001D766F" w:rsidRDefault="0051763B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Gedis, Džon L, </w:t>
            </w:r>
            <w:r w:rsidRPr="001D766F">
              <w:rPr>
                <w:rFonts w:ascii="Times New Roman" w:eastAsia="Arial" w:hAnsi="Times New Roman" w:cs="Times New Roman"/>
                <w:i/>
                <w:sz w:val="18"/>
                <w:szCs w:val="18"/>
                <w:lang w:val="sr-Latn-ME"/>
              </w:rPr>
              <w:t xml:space="preserve">Hladni rat – mi danas znamo, </w:t>
            </w: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Clio, Beograd, 2003. </w:t>
            </w:r>
          </w:p>
          <w:p w14:paraId="7E37A27F" w14:textId="77777777" w:rsidR="00CF185A" w:rsidRPr="001D766F" w:rsidRDefault="00246D2F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A. Mitrović, </w:t>
            </w:r>
            <w:r w:rsidRPr="001D766F">
              <w:rPr>
                <w:rFonts w:ascii="Times New Roman" w:eastAsia="Arial" w:hAnsi="Times New Roman" w:cs="Times New Roman"/>
                <w:i/>
                <w:sz w:val="18"/>
                <w:szCs w:val="18"/>
                <w:lang w:val="sr-Latn-ME"/>
              </w:rPr>
              <w:t>Vreme netrpeljivih. Politička istorija velikih država Evrope 1919-1939</w:t>
            </w: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, Podgorica 1998; </w:t>
            </w:r>
          </w:p>
          <w:p w14:paraId="3761EDA7" w14:textId="77777777" w:rsidR="00CF185A" w:rsidRPr="001D766F" w:rsidRDefault="00246D2F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Dž. P. Guč, J. M. Jovanović, </w:t>
            </w:r>
            <w:r w:rsidRPr="001D766F">
              <w:rPr>
                <w:rFonts w:ascii="Times New Roman" w:eastAsia="Arial" w:hAnsi="Times New Roman" w:cs="Times New Roman"/>
                <w:i/>
                <w:sz w:val="18"/>
                <w:szCs w:val="18"/>
                <w:lang w:val="sr-Latn-ME"/>
              </w:rPr>
              <w:t>Diplomatska istorija moderne Evrope 1878-1919</w:t>
            </w: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, Beograd 1933; </w:t>
            </w:r>
          </w:p>
          <w:p w14:paraId="42E701E6" w14:textId="77777777" w:rsidR="00CF185A" w:rsidRPr="001D766F" w:rsidRDefault="00246D2F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P. Potemkin,</w:t>
            </w:r>
            <w:r w:rsidRPr="001D766F">
              <w:rPr>
                <w:rFonts w:ascii="Times New Roman" w:eastAsia="Arial" w:hAnsi="Times New Roman" w:cs="Times New Roman"/>
                <w:i/>
                <w:sz w:val="18"/>
                <w:szCs w:val="18"/>
                <w:lang w:val="sr-Latn-ME"/>
              </w:rPr>
              <w:t>Istorija diplomatije. Diplomatija u razdoblju priprema Drugog svjetskog rata (1919-1939)</w:t>
            </w: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, Beograd 1951; </w:t>
            </w:r>
          </w:p>
          <w:p w14:paraId="3340B36A" w14:textId="77777777" w:rsidR="00246D2F" w:rsidRPr="001D766F" w:rsidRDefault="0051763B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-</w:t>
            </w:r>
          </w:p>
          <w:p w14:paraId="542FC1B3" w14:textId="77777777" w:rsidR="00246D2F" w:rsidRPr="001D766F" w:rsidRDefault="00DC2B38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b/>
                <w:sz w:val="18"/>
                <w:szCs w:val="18"/>
                <w:lang w:val="sr-Latn-ME"/>
              </w:rPr>
              <w:t>ŠIRA LITERATURA*</w:t>
            </w:r>
            <w:r w:rsidR="00246D2F"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:</w:t>
            </w:r>
          </w:p>
          <w:p w14:paraId="4726C1D9" w14:textId="77777777" w:rsidR="00246D2F" w:rsidRPr="001D766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1.Filip Dženkins, Istorija Sjedinjenih država, Filip Višnjić, Beograd , 2002, 53-87; </w:t>
            </w:r>
          </w:p>
          <w:p w14:paraId="34E78929" w14:textId="77777777" w:rsidR="00246D2F" w:rsidRPr="001D766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2.Pol Džonson, Istorija američkog naroda , knjiga-komerc, Beograd, 2003, 117- 258);</w:t>
            </w:r>
          </w:p>
          <w:p w14:paraId="3185AFE1" w14:textId="77777777" w:rsidR="00246D2F" w:rsidRPr="001D766F" w:rsidRDefault="00246D2F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3.Fransoa Fire, O francuskoj revoluciji . Izdavačka knjižarnica Zorana Stojanovića. Sremski Karlovci , 1990</w:t>
            </w:r>
          </w:p>
          <w:p w14:paraId="70B9173D" w14:textId="77777777" w:rsidR="00246D2F" w:rsidRPr="001D766F" w:rsidRDefault="00246D2F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3.Hari Herder , Evropa u devetnaestom veku , Clio , Beograd , 2003.</w:t>
            </w:r>
          </w:p>
          <w:p w14:paraId="07BD6A76" w14:textId="77777777" w:rsidR="00246D2F" w:rsidRPr="001D766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6.Fransoa Fire, Prošlost jedne iluzije, Komunizam u dvadesetom vijeku,Beograd 1996</w:t>
            </w:r>
          </w:p>
          <w:p w14:paraId="08A9E88B" w14:textId="77777777" w:rsidR="00246D2F" w:rsidRPr="001D766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7. Pol Kenedi , Uspon i pad velikih sila, CID,  Podgorica , 1999</w:t>
            </w:r>
          </w:p>
          <w:p w14:paraId="794ACE65" w14:textId="77777777" w:rsidR="00246D2F" w:rsidRPr="001D766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8. Mihail Geler, Aleksandar Negrič, Utopija na vlasti , Istorija Sovjetskog saveza, Podgorica, CID, 2000</w:t>
            </w:r>
          </w:p>
          <w:p w14:paraId="45DCF7D8" w14:textId="77777777" w:rsidR="00246D2F" w:rsidRPr="001D766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9.Ernst Nolte , Fašizam u svojoj epohi, Epoha svetskih ratova i fašizam, Beograd 1990</w:t>
            </w:r>
          </w:p>
          <w:p w14:paraId="491CFCC0" w14:textId="77777777" w:rsidR="00246D2F" w:rsidRPr="001D766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10.A.Hamilton, Intelektualci i fašizam, Beograd 1978</w:t>
            </w:r>
          </w:p>
          <w:p w14:paraId="78191F13" w14:textId="77777777" w:rsidR="00246D2F" w:rsidRPr="001D766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11.Fric Fišer,Savez elita , Beograd 1985</w:t>
            </w:r>
          </w:p>
          <w:p w14:paraId="76CA071F" w14:textId="77777777" w:rsidR="00246D2F" w:rsidRPr="001D766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12.A.Bulok,Hitler.Slika tiranije, Beograd , 1954</w:t>
            </w:r>
          </w:p>
          <w:p w14:paraId="3F802DC4" w14:textId="77777777" w:rsidR="00246D2F" w:rsidRPr="001D766F" w:rsidRDefault="00246D2F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13.Marvin Peri , Intelektualna istorija Evrope , Clio , Beograd , 2000</w:t>
            </w:r>
          </w:p>
          <w:p w14:paraId="33689BA2" w14:textId="77777777" w:rsidR="00246D2F" w:rsidRPr="001D766F" w:rsidRDefault="00246D2F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14. Žorž –Anri Sutu, Neizvestan savez , Istorija Evropske zajednice, Clio, Beograd, 2001</w:t>
            </w:r>
          </w:p>
          <w:p w14:paraId="4F27711D" w14:textId="77777777" w:rsidR="00246D2F" w:rsidRPr="001D766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16. Filip Longvort , Stvaranje istočne Evrope , Beograd, Clio , 2002</w:t>
            </w:r>
          </w:p>
          <w:p w14:paraId="372B4884" w14:textId="77777777" w:rsidR="00246D2F" w:rsidRPr="001D766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17. Istorija Rusije, priredili Dimitrije Obolenski i Robert Oti, Clio , Beograd, 2003, 289- 337</w:t>
            </w:r>
          </w:p>
          <w:p w14:paraId="1289C7C6" w14:textId="77777777" w:rsidR="00246D2F" w:rsidRPr="001D766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18. H. B. Parks, Istorija SAD, Beograd 1986.</w:t>
            </w:r>
          </w:p>
          <w:p w14:paraId="4AC1A5E9" w14:textId="77777777" w:rsidR="00246D2F" w:rsidRPr="001D766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19. Đ. Bofa, Povijest SSSR-a, I-II, Rijeka 1985.</w:t>
            </w:r>
          </w:p>
          <w:p w14:paraId="0206B137" w14:textId="77777777" w:rsidR="00246D2F" w:rsidRPr="001D766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20. Č. Popov, Politički frontovi Drugog svjetskog rata, Novi Sad 1995.</w:t>
            </w:r>
          </w:p>
          <w:p w14:paraId="55C94F17" w14:textId="77777777" w:rsidR="002F5BA9" w:rsidRPr="001D766F" w:rsidRDefault="002F5BA9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21. A. Dž. P. Tejlor, Borba za prevlast u Evropi 1848-1918, Sarajevo 1968</w:t>
            </w:r>
          </w:p>
          <w:p w14:paraId="26EC0378" w14:textId="77777777" w:rsidR="00CF185A" w:rsidRPr="001D766F" w:rsidRDefault="00CF185A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22.Sutu, Žorž – Anri, Evropa 1815. do danas, CID, Podgorica, 2015.</w:t>
            </w:r>
          </w:p>
          <w:p w14:paraId="474DE278" w14:textId="77777777" w:rsidR="0051763B" w:rsidRPr="001D766F" w:rsidRDefault="0051763B" w:rsidP="0051763B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23. H. Kisindžer, </w:t>
            </w:r>
            <w:r w:rsidRPr="001D766F">
              <w:rPr>
                <w:rFonts w:ascii="Times New Roman" w:eastAsia="Arial" w:hAnsi="Times New Roman" w:cs="Times New Roman"/>
                <w:i/>
                <w:sz w:val="18"/>
                <w:szCs w:val="18"/>
                <w:lang w:val="sr-Latn-ME"/>
              </w:rPr>
              <w:t>Diplomatija</w:t>
            </w: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, Beograd, 2000.</w:t>
            </w:r>
          </w:p>
          <w:p w14:paraId="11F5E133" w14:textId="77777777" w:rsidR="002F5BA9" w:rsidRPr="001D766F" w:rsidRDefault="002F5BA9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</w:p>
          <w:p w14:paraId="20CD1F92" w14:textId="77777777" w:rsidR="00246D2F" w:rsidRPr="001D766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</w:p>
          <w:p w14:paraId="7840E6CC" w14:textId="77777777" w:rsidR="00BC2628" w:rsidRPr="001D766F" w:rsidRDefault="00DC2B38" w:rsidP="002F5BA9">
            <w:pPr>
              <w:pStyle w:val="TableParagraph"/>
              <w:spacing w:before="1" w:line="256" w:lineRule="auto"/>
              <w:ind w:left="49" w:right="281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b/>
                <w:sz w:val="18"/>
                <w:szCs w:val="18"/>
                <w:lang w:val="sr-Latn-ME"/>
              </w:rPr>
              <w:t>*</w:t>
            </w:r>
            <w:r w:rsidR="00246D2F" w:rsidRPr="001D766F">
              <w:rPr>
                <w:rFonts w:ascii="Times New Roman" w:eastAsia="Arial" w:hAnsi="Times New Roman" w:cs="Times New Roman"/>
                <w:b/>
                <w:sz w:val="18"/>
                <w:szCs w:val="18"/>
                <w:lang w:val="sr-Latn-ME"/>
              </w:rPr>
              <w:t xml:space="preserve">NAPOMENA: </w:t>
            </w:r>
            <w:r w:rsidR="002F5BA9" w:rsidRPr="001D766F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val="sr-Latn-ME"/>
              </w:rPr>
              <w:t>Studenti koji žele</w:t>
            </w:r>
            <w:r w:rsidR="00CF185A" w:rsidRPr="001D766F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val="sr-Latn-ME"/>
              </w:rPr>
              <w:t xml:space="preserve"> ocjenu A biraju jednu knjigu sa</w:t>
            </w:r>
            <w:r w:rsidR="002F5BA9" w:rsidRPr="001D766F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val="sr-Latn-ME"/>
              </w:rPr>
              <w:t xml:space="preserve"> spiska šire literature koju sprema</w:t>
            </w:r>
            <w:r w:rsidR="00D50842" w:rsidRPr="001D766F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val="sr-Latn-ME"/>
              </w:rPr>
              <w:t>ju</w:t>
            </w:r>
            <w:r w:rsidR="002F5BA9" w:rsidRPr="001D766F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val="sr-Latn-ME"/>
              </w:rPr>
              <w:t xml:space="preserve"> za završni, usmeni ispit. Student može izabrati i knjigu van spiska, s' tim što je dužan da se za tu knjigu kons</w:t>
            </w:r>
            <w:r w:rsidR="00D50842" w:rsidRPr="001D766F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val="sr-Latn-ME"/>
              </w:rPr>
              <w:t>ultuje sa predmetnim profesorom</w:t>
            </w:r>
            <w:r w:rsidR="00CF185A" w:rsidRPr="001D766F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val="sr-Latn-ME"/>
              </w:rPr>
              <w:t>.</w:t>
            </w:r>
          </w:p>
        </w:tc>
      </w:tr>
      <w:tr w:rsidR="00BC2628" w:rsidRPr="001D766F" w14:paraId="56249069" w14:textId="77777777">
        <w:trPr>
          <w:trHeight w:val="700"/>
        </w:trPr>
        <w:tc>
          <w:tcPr>
            <w:tcW w:w="2098" w:type="dxa"/>
          </w:tcPr>
          <w:p w14:paraId="5F72995C" w14:textId="77777777" w:rsidR="00BC2628" w:rsidRPr="001D766F" w:rsidRDefault="00B856A8">
            <w:pPr>
              <w:pStyle w:val="TableParagraph"/>
              <w:spacing w:line="256" w:lineRule="auto"/>
              <w:ind w:right="167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Oblici provjere znanja i ocjenjivanje</w:t>
            </w:r>
          </w:p>
        </w:tc>
        <w:tc>
          <w:tcPr>
            <w:tcW w:w="8391" w:type="dxa"/>
          </w:tcPr>
          <w:p w14:paraId="1B35B065" w14:textId="540E24C9" w:rsidR="00595B46" w:rsidRPr="001D766F" w:rsidRDefault="00595B46" w:rsidP="001D766F">
            <w:pPr>
              <w:pStyle w:val="TableParagraph"/>
              <w:spacing w:line="256" w:lineRule="auto"/>
              <w:ind w:right="158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1.Jedan kolokvijum (do </w:t>
            </w:r>
            <w:r w:rsid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50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poena)</w:t>
            </w:r>
          </w:p>
          <w:p w14:paraId="75BCC56A" w14:textId="2690025D" w:rsidR="00860EAB" w:rsidRPr="001D766F" w:rsidRDefault="001D766F">
            <w:pPr>
              <w:pStyle w:val="TableParagraph"/>
              <w:spacing w:line="256" w:lineRule="auto"/>
              <w:ind w:left="49" w:right="158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2</w:t>
            </w:r>
            <w:r w:rsidR="00595B46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. Završni ispit  do 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50 poena</w:t>
            </w:r>
          </w:p>
          <w:p w14:paraId="65EE7296" w14:textId="003F30F8" w:rsidR="00860EAB" w:rsidRPr="001D766F" w:rsidRDefault="001D766F">
            <w:pPr>
              <w:pStyle w:val="TableParagraph"/>
              <w:spacing w:line="256" w:lineRule="auto"/>
              <w:ind w:left="49" w:right="158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3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. Prelazna ocjena se dobija ako se kumulativno sakupi minimum 51 poen. </w:t>
            </w:r>
          </w:p>
          <w:p w14:paraId="07AEC0BC" w14:textId="781D2617" w:rsidR="00BC2628" w:rsidRPr="001D766F" w:rsidRDefault="001D766F">
            <w:pPr>
              <w:pStyle w:val="TableParagraph"/>
              <w:spacing w:line="256" w:lineRule="auto"/>
              <w:ind w:left="49" w:right="158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4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. Ocjene: do 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49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– F; 5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0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59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– E, 6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0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69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– D; 7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0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79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– C; 8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0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89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– B, 9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0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-100 – A.</w:t>
            </w:r>
          </w:p>
        </w:tc>
      </w:tr>
      <w:tr w:rsidR="00BC2628" w:rsidRPr="001D766F" w14:paraId="75CCD0E6" w14:textId="77777777">
        <w:trPr>
          <w:trHeight w:val="500"/>
        </w:trPr>
        <w:tc>
          <w:tcPr>
            <w:tcW w:w="2098" w:type="dxa"/>
          </w:tcPr>
          <w:p w14:paraId="53C4FB1D" w14:textId="77777777" w:rsidR="00BC2628" w:rsidRPr="001D766F" w:rsidRDefault="00B856A8">
            <w:pPr>
              <w:pStyle w:val="TableParagraph"/>
              <w:spacing w:line="256" w:lineRule="auto"/>
              <w:ind w:right="372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Posebne naznake za predmet</w:t>
            </w:r>
          </w:p>
        </w:tc>
        <w:tc>
          <w:tcPr>
            <w:tcW w:w="8391" w:type="dxa"/>
          </w:tcPr>
          <w:p w14:paraId="46E261C0" w14:textId="77777777" w:rsidR="00BC2628" w:rsidRPr="001D766F" w:rsidRDefault="00B856A8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Nema</w:t>
            </w:r>
          </w:p>
        </w:tc>
      </w:tr>
      <w:tr w:rsidR="00BC2628" w:rsidRPr="001D766F" w14:paraId="117D62AA" w14:textId="77777777">
        <w:trPr>
          <w:trHeight w:val="300"/>
        </w:trPr>
        <w:tc>
          <w:tcPr>
            <w:tcW w:w="2098" w:type="dxa"/>
          </w:tcPr>
          <w:p w14:paraId="4D76F2B4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Napomena</w:t>
            </w:r>
          </w:p>
        </w:tc>
        <w:tc>
          <w:tcPr>
            <w:tcW w:w="8391" w:type="dxa"/>
          </w:tcPr>
          <w:p w14:paraId="6749B3A3" w14:textId="77777777" w:rsidR="00BC2628" w:rsidRPr="001D766F" w:rsidRDefault="00B856A8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Nema</w:t>
            </w:r>
          </w:p>
        </w:tc>
      </w:tr>
      <w:tr w:rsidR="00BC2628" w:rsidRPr="001D766F" w14:paraId="1B1ED9A3" w14:textId="77777777">
        <w:trPr>
          <w:trHeight w:val="1480"/>
        </w:trPr>
        <w:tc>
          <w:tcPr>
            <w:tcW w:w="2098" w:type="dxa"/>
          </w:tcPr>
          <w:p w14:paraId="123EBD32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Ishodi učenja</w:t>
            </w:r>
          </w:p>
        </w:tc>
        <w:tc>
          <w:tcPr>
            <w:tcW w:w="8391" w:type="dxa"/>
            <w:tcBorders>
              <w:bottom w:val="single" w:sz="12" w:space="0" w:color="000000"/>
              <w:right w:val="single" w:sz="12" w:space="0" w:color="000000"/>
            </w:tcBorders>
          </w:tcPr>
          <w:p w14:paraId="0BECEBCD" w14:textId="77777777" w:rsidR="00BC2628" w:rsidRPr="001D766F" w:rsidRDefault="00B856A8">
            <w:pPr>
              <w:pStyle w:val="TableParagraph"/>
              <w:spacing w:line="256" w:lineRule="auto"/>
              <w:ind w:left="49" w:right="8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Nakon što student položi ovaj ispit biće u mogućnosti da: - objasni političke procese i događaje savremene opšte istorije XIX i XX vijeka, - vrednuje značaj Francuske buržoaske revolucije i Napoleonovih ratova na društveno-politički razvoj evropskih država prve polovine XIX vijeka, - analizira odlike imperijalizma (kolonijalna osvajanja velikih sila, međunarodne krize i ratovi od polovine XIX vijeka do 1919), - vrednuje značaj socijalizma, fašizma i nacizma kao društveno-političkih i ideoloških sistema XX vijeka, - objasni i vrednuje značaj Drugog svjetskog rata i Hladnog rata u kontekstu međunarodnih odnosa u Evropi i svijetu.</w:t>
            </w:r>
          </w:p>
        </w:tc>
      </w:tr>
    </w:tbl>
    <w:p w14:paraId="0990049B" w14:textId="77777777" w:rsidR="00B856A8" w:rsidRPr="001D766F" w:rsidRDefault="00B856A8">
      <w:pPr>
        <w:rPr>
          <w:rFonts w:ascii="Times New Roman" w:hAnsi="Times New Roman" w:cs="Times New Roman"/>
          <w:sz w:val="18"/>
          <w:szCs w:val="18"/>
          <w:lang w:val="sr-Latn-ME"/>
        </w:rPr>
      </w:pPr>
    </w:p>
    <w:sectPr w:rsidR="00B856A8" w:rsidRPr="001D766F">
      <w:pgSz w:w="11910" w:h="16840"/>
      <w:pgMar w:top="920" w:right="720" w:bottom="220" w:left="440" w:header="283" w:footer="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87FD5" w14:textId="77777777" w:rsidR="00D51FDC" w:rsidRDefault="00D51FDC">
      <w:r>
        <w:separator/>
      </w:r>
    </w:p>
  </w:endnote>
  <w:endnote w:type="continuationSeparator" w:id="0">
    <w:p w14:paraId="5D852712" w14:textId="77777777" w:rsidR="00D51FDC" w:rsidRDefault="00D5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2F04" w14:textId="77777777" w:rsidR="00BC2628" w:rsidRDefault="00D51FDC">
    <w:pPr>
      <w:pStyle w:val="BodyText"/>
      <w:spacing w:line="14" w:lineRule="auto"/>
      <w:rPr>
        <w:b w:val="0"/>
      </w:rPr>
    </w:pPr>
    <w:r>
      <w:pict w14:anchorId="06CE19C2">
        <v:line id="_x0000_s1026" style="position:absolute;z-index:-8440;mso-position-horizontal-relative:page;mso-position-vertical-relative:page" from="28.35pt,827.7pt" to="552.75pt,827.7pt" strokeweight=".85pt">
          <w10:wrap anchorx="page" anchory="page"/>
        </v:line>
      </w:pict>
    </w:r>
    <w:r>
      <w:pict w14:anchorId="2BBED6E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5pt;margin-top:827.2pt;width:16.5pt;height:9pt;z-index:-8416;mso-position-horizontal-relative:page;mso-position-vertical-relative:page" filled="f" stroked="f">
          <v:textbox inset="0,0,0,0">
            <w:txbxContent>
              <w:p w14:paraId="73CFCE1F" w14:textId="77777777" w:rsidR="00BC2628" w:rsidRDefault="00B856A8">
                <w:pPr>
                  <w:spacing w:before="20"/>
                  <w:ind w:left="40"/>
                  <w:rPr>
                    <w:sz w:val="12"/>
                  </w:rPr>
                </w:pPr>
                <w:r>
                  <w:fldChar w:fldCharType="begin"/>
                </w:r>
                <w:r>
                  <w:rPr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 w:rsidR="00DC2B38">
                  <w:rPr>
                    <w:noProof/>
                    <w:sz w:val="12"/>
                  </w:rPr>
                  <w:t>1</w:t>
                </w:r>
                <w:r>
                  <w:fldChar w:fldCharType="end"/>
                </w:r>
                <w:r>
                  <w:rPr>
                    <w:sz w:val="12"/>
                  </w:rPr>
                  <w:t xml:space="preserve"> /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F943D" w14:textId="77777777" w:rsidR="00D51FDC" w:rsidRDefault="00D51FDC">
      <w:r>
        <w:separator/>
      </w:r>
    </w:p>
  </w:footnote>
  <w:footnote w:type="continuationSeparator" w:id="0">
    <w:p w14:paraId="1668B49A" w14:textId="77777777" w:rsidR="00D51FDC" w:rsidRDefault="00D5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AF59" w14:textId="77777777" w:rsidR="00BC2628" w:rsidRDefault="00B856A8">
    <w:pPr>
      <w:pStyle w:val="BodyText"/>
      <w:spacing w:line="14" w:lineRule="auto"/>
      <w:rPr>
        <w:b w:val="0"/>
      </w:rPr>
    </w:pPr>
    <w:r>
      <w:rPr>
        <w:noProof/>
        <w:lang w:val="sr-Latn-ME" w:eastAsia="sr-Latn-ME"/>
      </w:rPr>
      <w:drawing>
        <wp:anchor distT="0" distB="0" distL="0" distR="0" simplePos="0" relativeHeight="251658752" behindDoc="1" locked="0" layoutInCell="1" allowOverlap="1" wp14:anchorId="7173F7BC" wp14:editId="08F3D200">
          <wp:simplePos x="0" y="0"/>
          <wp:positionH relativeFrom="page">
            <wp:posOffset>359999</wp:posOffset>
          </wp:positionH>
          <wp:positionV relativeFrom="page">
            <wp:posOffset>180000</wp:posOffset>
          </wp:positionV>
          <wp:extent cx="1079999" cy="41294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9999" cy="4129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1FDC">
      <w:pict w14:anchorId="0CCBF04B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20.9pt;margin-top:13.65pt;width:232.8pt;height:27.35pt;z-index:-8464;mso-position-horizontal-relative:page;mso-position-vertical-relative:page" filled="f" stroked="f">
          <v:textbox inset="0,0,0,0">
            <w:txbxContent>
              <w:p w14:paraId="53475B4C" w14:textId="77777777" w:rsidR="00BC2628" w:rsidRDefault="00B856A8">
                <w:pPr>
                  <w:spacing w:before="20"/>
                  <w:ind w:left="20"/>
                  <w:rPr>
                    <w:b/>
                  </w:rPr>
                </w:pPr>
                <w:r>
                  <w:rPr>
                    <w:b/>
                  </w:rPr>
                  <w:t>ECTS KATALOG SA ISHODIMA UČENJA</w:t>
                </w:r>
              </w:p>
              <w:p w14:paraId="7386445A" w14:textId="77777777" w:rsidR="00BC2628" w:rsidRDefault="00B856A8">
                <w:pPr>
                  <w:pStyle w:val="BodyText"/>
                  <w:spacing w:before="18"/>
                  <w:ind w:left="20"/>
                </w:pPr>
                <w:r>
                  <w:t>Univerzitet Crne Gore</w:t>
                </w:r>
                <w:r w:rsidR="00246D2F">
                  <w:t xml:space="preserve"> – Fakultet političkih nauka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7EF8"/>
    <w:multiLevelType w:val="hybridMultilevel"/>
    <w:tmpl w:val="F7CCE850"/>
    <w:lvl w:ilvl="0" w:tplc="D304E27A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129" w:hanging="360"/>
      </w:pPr>
    </w:lvl>
    <w:lvl w:ilvl="2" w:tplc="2C1A001B" w:tentative="1">
      <w:start w:val="1"/>
      <w:numFmt w:val="lowerRoman"/>
      <w:lvlText w:val="%3."/>
      <w:lvlJc w:val="right"/>
      <w:pPr>
        <w:ind w:left="1849" w:hanging="180"/>
      </w:pPr>
    </w:lvl>
    <w:lvl w:ilvl="3" w:tplc="2C1A000F" w:tentative="1">
      <w:start w:val="1"/>
      <w:numFmt w:val="decimal"/>
      <w:lvlText w:val="%4."/>
      <w:lvlJc w:val="left"/>
      <w:pPr>
        <w:ind w:left="2569" w:hanging="360"/>
      </w:pPr>
    </w:lvl>
    <w:lvl w:ilvl="4" w:tplc="2C1A0019" w:tentative="1">
      <w:start w:val="1"/>
      <w:numFmt w:val="lowerLetter"/>
      <w:lvlText w:val="%5."/>
      <w:lvlJc w:val="left"/>
      <w:pPr>
        <w:ind w:left="3289" w:hanging="360"/>
      </w:pPr>
    </w:lvl>
    <w:lvl w:ilvl="5" w:tplc="2C1A001B" w:tentative="1">
      <w:start w:val="1"/>
      <w:numFmt w:val="lowerRoman"/>
      <w:lvlText w:val="%6."/>
      <w:lvlJc w:val="right"/>
      <w:pPr>
        <w:ind w:left="4009" w:hanging="180"/>
      </w:pPr>
    </w:lvl>
    <w:lvl w:ilvl="6" w:tplc="2C1A000F" w:tentative="1">
      <w:start w:val="1"/>
      <w:numFmt w:val="decimal"/>
      <w:lvlText w:val="%7."/>
      <w:lvlJc w:val="left"/>
      <w:pPr>
        <w:ind w:left="4729" w:hanging="360"/>
      </w:pPr>
    </w:lvl>
    <w:lvl w:ilvl="7" w:tplc="2C1A0019" w:tentative="1">
      <w:start w:val="1"/>
      <w:numFmt w:val="lowerLetter"/>
      <w:lvlText w:val="%8."/>
      <w:lvlJc w:val="left"/>
      <w:pPr>
        <w:ind w:left="5449" w:hanging="360"/>
      </w:pPr>
    </w:lvl>
    <w:lvl w:ilvl="8" w:tplc="2C1A001B" w:tentative="1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628"/>
    <w:rsid w:val="00187E20"/>
    <w:rsid w:val="001D766F"/>
    <w:rsid w:val="00246D2F"/>
    <w:rsid w:val="002F5BA9"/>
    <w:rsid w:val="00456311"/>
    <w:rsid w:val="0051763B"/>
    <w:rsid w:val="00595B46"/>
    <w:rsid w:val="005A0EAF"/>
    <w:rsid w:val="00622B25"/>
    <w:rsid w:val="00860EAB"/>
    <w:rsid w:val="00A05D17"/>
    <w:rsid w:val="00AC0A3C"/>
    <w:rsid w:val="00B856A8"/>
    <w:rsid w:val="00BC2628"/>
    <w:rsid w:val="00BF2FB7"/>
    <w:rsid w:val="00CE7F65"/>
    <w:rsid w:val="00CF185A"/>
    <w:rsid w:val="00D2472F"/>
    <w:rsid w:val="00D50842"/>
    <w:rsid w:val="00D51FDC"/>
    <w:rsid w:val="00DC2B38"/>
    <w:rsid w:val="00DD1A1F"/>
    <w:rsid w:val="00E01FC4"/>
    <w:rsid w:val="00F3286B"/>
    <w:rsid w:val="00F8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4A940B1"/>
  <w15:docId w15:val="{1A296D78-E411-4BB9-BA9B-2267F635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50"/>
    </w:pPr>
  </w:style>
  <w:style w:type="paragraph" w:styleId="Header">
    <w:name w:val="header"/>
    <w:basedOn w:val="Normal"/>
    <w:link w:val="HeaderChar"/>
    <w:uiPriority w:val="99"/>
    <w:unhideWhenUsed/>
    <w:rsid w:val="00246D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D2F"/>
    <w:rPr>
      <w:rFonts w:ascii="DejaVu Sans" w:eastAsia="DejaVu Sans" w:hAnsi="DejaVu Sans" w:cs="DejaVu Sans"/>
    </w:rPr>
  </w:style>
  <w:style w:type="paragraph" w:styleId="Footer">
    <w:name w:val="footer"/>
    <w:basedOn w:val="Normal"/>
    <w:link w:val="FooterChar"/>
    <w:uiPriority w:val="99"/>
    <w:unhideWhenUsed/>
    <w:rsid w:val="00246D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D2F"/>
    <w:rPr>
      <w:rFonts w:ascii="DejaVu Sans" w:eastAsia="DejaVu Sans" w:hAnsi="DejaVu Sans"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CRNE GORE</vt:lpstr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CRNE GORE</dc:title>
  <dc:subject>ECTS katalog sa ishodima ucenja</dc:subject>
  <dc:creator>nastava</dc:creator>
  <cp:keywords>ECTS, PDF, KATALOG, NASTAVA, UCG, UNIVERZITET CRNE GORE</cp:keywords>
  <cp:lastModifiedBy>Perun Lakic</cp:lastModifiedBy>
  <cp:revision>14</cp:revision>
  <dcterms:created xsi:type="dcterms:W3CDTF">2018-02-24T00:02:00Z</dcterms:created>
  <dcterms:modified xsi:type="dcterms:W3CDTF">2022-02-27T07:24:00Z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TCPDF</vt:lpwstr>
  </property>
  <property fmtid="{D5CDD505-2E9C-101B-9397-08002B2CF9AE}" pid="4" name="LastSaved">
    <vt:filetime>2018-02-23T00:00:00Z</vt:filetime>
  </property>
</Properties>
</file>